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28" w:rsidRDefault="000B6B7A" w:rsidP="000B6B7A">
      <w:pPr>
        <w:jc w:val="center"/>
      </w:pPr>
      <w:r>
        <w:t>TBX-Basic to TBX-Min Conversion (Alpha)</w:t>
      </w:r>
    </w:p>
    <w:p w:rsidR="004A15A6" w:rsidRDefault="000B6B7A" w:rsidP="000B6B7A">
      <w:r>
        <w:t xml:space="preserve">To compliment the TBX-Min to TBX-Basic converter, we have created a preliminary TBX-Basic to TBX-Min converter. To use the tool online, visit </w:t>
      </w:r>
      <w:hyperlink r:id="rId6" w:history="1">
        <w:r w:rsidRPr="00874E4B">
          <w:rPr>
            <w:rStyle w:val="Hyperlink"/>
          </w:rPr>
          <w:t>www.tbxconvert.gevterm.net</w:t>
        </w:r>
      </w:hyperlink>
      <w:r>
        <w:t xml:space="preserve">. </w:t>
      </w:r>
      <w:r w:rsidR="007508D1">
        <w:t xml:space="preserve">This document is hosted there, along with </w:t>
      </w:r>
      <w:r w:rsidR="004A15A6">
        <w:t>a sample input/output file for the converter.</w:t>
      </w:r>
    </w:p>
    <w:p w:rsidR="000B6B7A" w:rsidRDefault="000B6B7A" w:rsidP="000B6B7A">
      <w:r>
        <w:t xml:space="preserve">The converter is currently alpha quality and </w:t>
      </w:r>
      <w:r w:rsidR="007F45EC">
        <w:t xml:space="preserve">we understand that it </w:t>
      </w:r>
      <w:r>
        <w:t>lacks some important functionality</w:t>
      </w:r>
      <w:r w:rsidR="007F45EC">
        <w:t>. However,</w:t>
      </w:r>
      <w:r w:rsidR="004A15A6">
        <w:t xml:space="preserve"> we still invite you to comment or ask questions on the converter as well as the information contained in this document.</w:t>
      </w:r>
    </w:p>
    <w:p w:rsidR="000B6B7A" w:rsidRDefault="000B6B7A" w:rsidP="000B6B7A">
      <w:r>
        <w:t xml:space="preserve">Converting TBX-Basic to TBX-Min is less trivial than converting in the other direction because it is much more </w:t>
      </w:r>
      <w:proofErr w:type="spellStart"/>
      <w:r>
        <w:t>lossy</w:t>
      </w:r>
      <w:proofErr w:type="spellEnd"/>
      <w:r>
        <w:t xml:space="preserve"> and because TBX-Min only supports bilingual term bases. </w:t>
      </w:r>
      <w:r w:rsidR="005A5AAB">
        <w:t xml:space="preserve">Currently the converter maps elements between the two dialects like </w:t>
      </w:r>
      <w:r w:rsidR="00033728">
        <w:t>so</w:t>
      </w:r>
      <w:r w:rsidR="005A5AAB">
        <w:t>:</w:t>
      </w:r>
    </w:p>
    <w:tbl>
      <w:tblPr>
        <w:tblW w:w="5175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3920"/>
        <w:gridCol w:w="1445"/>
      </w:tblGrid>
      <w:tr w:rsidR="005A5AAB" w:rsidRPr="005A5AAB" w:rsidTr="005A5AAB">
        <w:trPr>
          <w:trHeight w:val="300"/>
        </w:trPr>
        <w:tc>
          <w:tcPr>
            <w:tcW w:w="3920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5A5AAB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TBX-Basic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</w:rPr>
            </w:pPr>
            <w:r w:rsidRPr="005A5AAB">
              <w:rPr>
                <w:rFonts w:ascii="Calibri" w:eastAsia="Times New Roman" w:hAnsi="Calibri" w:cs="Calibri"/>
                <w:b/>
                <w:color w:val="000000"/>
                <w:u w:val="single"/>
              </w:rPr>
              <w:t>TBX-Min</w:t>
            </w:r>
          </w:p>
        </w:tc>
      </w:tr>
      <w:tr w:rsidR="005A5AAB" w:rsidRPr="005A5AAB" w:rsidTr="005A5AAB">
        <w:trPr>
          <w:trHeight w:val="300"/>
        </w:trPr>
        <w:tc>
          <w:tcPr>
            <w:tcW w:w="3920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5AAB">
              <w:rPr>
                <w:rFonts w:ascii="Calibri" w:eastAsia="Times New Roman" w:hAnsi="Calibri" w:cs="Calibri"/>
                <w:b/>
                <w:bCs/>
                <w:color w:val="000000"/>
              </w:rPr>
              <w:t>Headers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A5AAB" w:rsidRPr="005A5AAB" w:rsidTr="005A5AAB">
        <w:trPr>
          <w:trHeight w:val="300"/>
        </w:trPr>
        <w:tc>
          <w:tcPr>
            <w:tcW w:w="3920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A5AAB">
              <w:rPr>
                <w:rFonts w:ascii="Calibri" w:eastAsia="Times New Roman" w:hAnsi="Calibri" w:cs="Calibri"/>
                <w:color w:val="000000"/>
              </w:rPr>
              <w:t>title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A5AAB">
              <w:rPr>
                <w:rFonts w:ascii="Calibri" w:eastAsia="Times New Roman" w:hAnsi="Calibri" w:cs="Calibri"/>
                <w:color w:val="000000"/>
              </w:rPr>
              <w:t>id</w:t>
            </w:r>
          </w:p>
        </w:tc>
      </w:tr>
      <w:tr w:rsidR="005A5AAB" w:rsidRPr="005A5AAB" w:rsidTr="005A5AAB">
        <w:trPr>
          <w:trHeight w:val="300"/>
        </w:trPr>
        <w:tc>
          <w:tcPr>
            <w:tcW w:w="3920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A5AAB">
              <w:rPr>
                <w:rFonts w:ascii="Calibri" w:eastAsia="Times New Roman" w:hAnsi="Calibri" w:cs="Calibri"/>
                <w:color w:val="000000"/>
              </w:rPr>
              <w:t>sourceDesc</w:t>
            </w:r>
            <w:proofErr w:type="spellEnd"/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A5AAB">
              <w:rPr>
                <w:rFonts w:ascii="Calibri" w:eastAsia="Times New Roman" w:hAnsi="Calibri" w:cs="Calibri"/>
                <w:color w:val="000000"/>
              </w:rPr>
              <w:t>description</w:t>
            </w:r>
          </w:p>
        </w:tc>
      </w:tr>
      <w:tr w:rsidR="005A5AAB" w:rsidRPr="005A5AAB" w:rsidTr="005A5AAB">
        <w:trPr>
          <w:trHeight w:val="300"/>
        </w:trPr>
        <w:tc>
          <w:tcPr>
            <w:tcW w:w="3920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A5AAB">
              <w:rPr>
                <w:rFonts w:ascii="Calibri" w:eastAsia="Times New Roman" w:hAnsi="Calibri" w:cs="Calibri"/>
                <w:color w:val="000000"/>
              </w:rPr>
              <w:t>titleStmt</w:t>
            </w:r>
            <w:proofErr w:type="spellEnd"/>
            <w:r w:rsidRPr="005A5AAB">
              <w:rPr>
                <w:rFonts w:ascii="Calibri" w:eastAsia="Times New Roman" w:hAnsi="Calibri" w:cs="Calibri"/>
                <w:color w:val="000000"/>
              </w:rPr>
              <w:t>/note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A5AAB">
              <w:rPr>
                <w:rFonts w:ascii="Calibri" w:eastAsia="Times New Roman" w:hAnsi="Calibri" w:cs="Calibri"/>
                <w:color w:val="000000"/>
              </w:rPr>
              <w:t>description</w:t>
            </w:r>
          </w:p>
        </w:tc>
      </w:tr>
      <w:tr w:rsidR="005A5AAB" w:rsidRPr="005A5AAB" w:rsidTr="005A5AAB">
        <w:trPr>
          <w:trHeight w:val="300"/>
        </w:trPr>
        <w:tc>
          <w:tcPr>
            <w:tcW w:w="3920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5AAB">
              <w:rPr>
                <w:rFonts w:ascii="Calibri" w:eastAsia="Times New Roman" w:hAnsi="Calibri" w:cs="Calibri"/>
                <w:b/>
                <w:bCs/>
                <w:color w:val="000000"/>
              </w:rPr>
              <w:t>Concepts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A5AAB" w:rsidRPr="005A5AAB" w:rsidTr="005A5AAB">
        <w:trPr>
          <w:trHeight w:val="300"/>
        </w:trPr>
        <w:tc>
          <w:tcPr>
            <w:tcW w:w="3920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A5AAB">
              <w:rPr>
                <w:rFonts w:ascii="Calibri" w:eastAsia="Times New Roman" w:hAnsi="Calibri" w:cs="Calibri"/>
                <w:color w:val="000000"/>
              </w:rPr>
              <w:t>descrip</w:t>
            </w:r>
            <w:proofErr w:type="spellEnd"/>
            <w:r w:rsidRPr="005A5AAB">
              <w:rPr>
                <w:rFonts w:ascii="Calibri" w:eastAsia="Times New Roman" w:hAnsi="Calibri" w:cs="Calibri"/>
                <w:color w:val="000000"/>
              </w:rPr>
              <w:t>[@type="</w:t>
            </w:r>
            <w:proofErr w:type="spellStart"/>
            <w:r w:rsidRPr="005A5AAB">
              <w:rPr>
                <w:rFonts w:ascii="Calibri" w:eastAsia="Times New Roman" w:hAnsi="Calibri" w:cs="Calibri"/>
                <w:color w:val="000000"/>
              </w:rPr>
              <w:t>subjectField</w:t>
            </w:r>
            <w:proofErr w:type="spellEnd"/>
            <w:r w:rsidRPr="005A5AAB">
              <w:rPr>
                <w:rFonts w:ascii="Calibri" w:eastAsia="Times New Roman" w:hAnsi="Calibri" w:cs="Calibri"/>
                <w:color w:val="000000"/>
              </w:rPr>
              <w:t>"]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A5AAB">
              <w:rPr>
                <w:rFonts w:ascii="Calibri" w:eastAsia="Times New Roman" w:hAnsi="Calibri" w:cs="Calibri"/>
                <w:color w:val="000000"/>
              </w:rPr>
              <w:t>subjectField</w:t>
            </w:r>
            <w:proofErr w:type="spellEnd"/>
          </w:p>
        </w:tc>
      </w:tr>
      <w:tr w:rsidR="005A5AAB" w:rsidRPr="005A5AAB" w:rsidTr="005A5AAB">
        <w:trPr>
          <w:trHeight w:val="300"/>
        </w:trPr>
        <w:tc>
          <w:tcPr>
            <w:tcW w:w="3920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A5AAB">
              <w:rPr>
                <w:rFonts w:ascii="Calibri" w:eastAsia="Times New Roman" w:hAnsi="Calibri" w:cs="Calibri"/>
                <w:b/>
                <w:bCs/>
                <w:color w:val="000000"/>
              </w:rPr>
              <w:t>Terms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A5AAB" w:rsidRPr="005A5AAB" w:rsidTr="005A5AAB">
        <w:trPr>
          <w:trHeight w:val="300"/>
        </w:trPr>
        <w:tc>
          <w:tcPr>
            <w:tcW w:w="3920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A5AAB">
              <w:rPr>
                <w:rFonts w:ascii="Calibri" w:eastAsia="Times New Roman" w:hAnsi="Calibri" w:cs="Calibri"/>
                <w:color w:val="000000"/>
              </w:rPr>
              <w:t>termNote</w:t>
            </w:r>
            <w:proofErr w:type="spellEnd"/>
            <w:r w:rsidRPr="005A5AAB">
              <w:rPr>
                <w:rFonts w:ascii="Calibri" w:eastAsia="Times New Roman" w:hAnsi="Calibri" w:cs="Calibri"/>
                <w:color w:val="000000"/>
              </w:rPr>
              <w:t>[@type="</w:t>
            </w:r>
            <w:proofErr w:type="spellStart"/>
            <w:r w:rsidRPr="005A5AAB">
              <w:rPr>
                <w:rFonts w:ascii="Calibri" w:eastAsia="Times New Roman" w:hAnsi="Calibri" w:cs="Calibri"/>
                <w:color w:val="000000"/>
              </w:rPr>
              <w:t>administrativeStatus</w:t>
            </w:r>
            <w:proofErr w:type="spellEnd"/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A5AAB">
              <w:rPr>
                <w:rFonts w:ascii="Calibri" w:eastAsia="Times New Roman" w:hAnsi="Calibri" w:cs="Calibri"/>
                <w:color w:val="000000"/>
              </w:rPr>
              <w:t>termStatus</w:t>
            </w:r>
            <w:proofErr w:type="spellEnd"/>
          </w:p>
        </w:tc>
      </w:tr>
      <w:tr w:rsidR="005A5AAB" w:rsidRPr="005A5AAB" w:rsidTr="005A5AAB">
        <w:trPr>
          <w:trHeight w:val="300"/>
        </w:trPr>
        <w:tc>
          <w:tcPr>
            <w:tcW w:w="3920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A5AAB">
              <w:rPr>
                <w:rFonts w:ascii="Calibri" w:eastAsia="Times New Roman" w:hAnsi="Calibri" w:cs="Calibri"/>
                <w:color w:val="000000"/>
              </w:rPr>
              <w:t>termNote</w:t>
            </w:r>
            <w:proofErr w:type="spellEnd"/>
            <w:r w:rsidRPr="005A5AAB">
              <w:rPr>
                <w:rFonts w:ascii="Calibri" w:eastAsia="Times New Roman" w:hAnsi="Calibri" w:cs="Calibri"/>
                <w:color w:val="000000"/>
              </w:rPr>
              <w:t>[@type="</w:t>
            </w:r>
            <w:proofErr w:type="spellStart"/>
            <w:r w:rsidRPr="005A5AAB">
              <w:rPr>
                <w:rFonts w:ascii="Calibri" w:eastAsia="Times New Roman" w:hAnsi="Calibri" w:cs="Calibri"/>
                <w:color w:val="000000"/>
              </w:rPr>
              <w:t>partOfSpeech</w:t>
            </w:r>
            <w:proofErr w:type="spellEnd"/>
            <w:r w:rsidRPr="005A5AAB">
              <w:rPr>
                <w:rFonts w:ascii="Calibri" w:eastAsia="Times New Roman" w:hAnsi="Calibri" w:cs="Calibri"/>
                <w:color w:val="000000"/>
              </w:rPr>
              <w:t>"]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A5AAB">
              <w:rPr>
                <w:rFonts w:ascii="Calibri" w:eastAsia="Times New Roman" w:hAnsi="Calibri" w:cs="Calibri"/>
                <w:color w:val="000000"/>
              </w:rPr>
              <w:t>partOfSpeech</w:t>
            </w:r>
            <w:proofErr w:type="spellEnd"/>
          </w:p>
        </w:tc>
      </w:tr>
      <w:tr w:rsidR="005A5AAB" w:rsidRPr="005A5AAB" w:rsidTr="005A5AAB">
        <w:trPr>
          <w:trHeight w:val="300"/>
        </w:trPr>
        <w:tc>
          <w:tcPr>
            <w:tcW w:w="3920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A5AAB">
              <w:rPr>
                <w:rFonts w:ascii="Calibri" w:eastAsia="Times New Roman" w:hAnsi="Calibri" w:cs="Calibri"/>
                <w:color w:val="000000"/>
              </w:rPr>
              <w:t>admin[@type="</w:t>
            </w:r>
            <w:proofErr w:type="spellStart"/>
            <w:r w:rsidRPr="005A5AAB">
              <w:rPr>
                <w:rFonts w:ascii="Calibri" w:eastAsia="Times New Roman" w:hAnsi="Calibri" w:cs="Calibri"/>
                <w:color w:val="000000"/>
              </w:rPr>
              <w:t>customerSubset</w:t>
            </w:r>
            <w:proofErr w:type="spellEnd"/>
            <w:r w:rsidRPr="005A5AAB">
              <w:rPr>
                <w:rFonts w:ascii="Calibri" w:eastAsia="Times New Roman" w:hAnsi="Calibri" w:cs="Calibri"/>
                <w:color w:val="000000"/>
              </w:rPr>
              <w:t>"]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5A5AAB" w:rsidRPr="005A5AAB" w:rsidRDefault="005A5AAB" w:rsidP="005A5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A5AAB">
              <w:rPr>
                <w:rFonts w:ascii="Calibri" w:eastAsia="Times New Roman" w:hAnsi="Calibri" w:cs="Calibri"/>
                <w:color w:val="000000"/>
              </w:rPr>
              <w:t>customer</w:t>
            </w:r>
          </w:p>
        </w:tc>
      </w:tr>
    </w:tbl>
    <w:p w:rsidR="005A5AAB" w:rsidRDefault="005A5AAB" w:rsidP="000B6B7A"/>
    <w:p w:rsidR="004A15A6" w:rsidRDefault="007F45EC" w:rsidP="00435DBE">
      <w:r>
        <w:t>There are likely missing entries in this table.</w:t>
      </w:r>
      <w:r w:rsidR="00033728">
        <w:t xml:space="preserve"> As for the data categories that cannot be represented structurally in TBX-Min, they</w:t>
      </w:r>
      <w:r w:rsidR="004741B7">
        <w:t xml:space="preserve"> placed within &lt;note&gt; elements, with their Type attributes within a nested &lt;</w:t>
      </w:r>
      <w:proofErr w:type="spellStart"/>
      <w:r w:rsidR="004741B7">
        <w:t>noteKey</w:t>
      </w:r>
      <w:proofErr w:type="spellEnd"/>
      <w:r w:rsidR="004741B7">
        <w:t>&gt; element and their values nested within a &lt;</w:t>
      </w:r>
      <w:proofErr w:type="spellStart"/>
      <w:r w:rsidR="004741B7">
        <w:t>noteValue</w:t>
      </w:r>
      <w:proofErr w:type="spellEnd"/>
      <w:r w:rsidR="004741B7">
        <w:t>&gt; element.  All &lt;note&gt;s then are place within a &lt;</w:t>
      </w:r>
      <w:proofErr w:type="spellStart"/>
      <w:r w:rsidR="004741B7">
        <w:t>noteGrp</w:t>
      </w:r>
      <w:proofErr w:type="spellEnd"/>
      <w:r w:rsidR="004741B7">
        <w:t>&gt;</w:t>
      </w:r>
      <w:r w:rsidR="00033728">
        <w:t>.</w:t>
      </w:r>
      <w:r w:rsidR="004741B7">
        <w:t xml:space="preserve">  </w:t>
      </w:r>
      <w:r w:rsidR="00033728">
        <w:t xml:space="preserve">These elements include </w:t>
      </w:r>
      <w:r w:rsidR="00033728" w:rsidRPr="002D1962">
        <w:rPr>
          <w:rFonts w:ascii="Courier New" w:hAnsi="Courier New"/>
        </w:rPr>
        <w:t>&lt;admin&gt;</w:t>
      </w:r>
      <w:r w:rsidR="00033728">
        <w:t xml:space="preserve"> and  </w:t>
      </w:r>
      <w:r w:rsidR="00033728" w:rsidRPr="002D1962">
        <w:rPr>
          <w:rFonts w:ascii="Courier New" w:hAnsi="Courier New"/>
        </w:rPr>
        <w:t>&lt;</w:t>
      </w:r>
      <w:proofErr w:type="spellStart"/>
      <w:r w:rsidR="00033728" w:rsidRPr="002D1962">
        <w:rPr>
          <w:rFonts w:ascii="Courier New" w:hAnsi="Courier New"/>
        </w:rPr>
        <w:t>descrip</w:t>
      </w:r>
      <w:proofErr w:type="spellEnd"/>
      <w:r w:rsidR="00033728" w:rsidRPr="002D1962">
        <w:rPr>
          <w:rFonts w:ascii="Courier New" w:hAnsi="Courier New"/>
        </w:rPr>
        <w:t>&gt;</w:t>
      </w:r>
      <w:r w:rsidR="00033728">
        <w:t xml:space="preserve"> elements inside of </w:t>
      </w:r>
      <w:r w:rsidR="00033728" w:rsidRPr="002D1962">
        <w:rPr>
          <w:rFonts w:ascii="Courier New" w:hAnsi="Courier New"/>
        </w:rPr>
        <w:t>&lt;</w:t>
      </w:r>
      <w:proofErr w:type="spellStart"/>
      <w:r w:rsidR="00033728" w:rsidRPr="002D1962">
        <w:rPr>
          <w:rFonts w:ascii="Courier New" w:hAnsi="Courier New"/>
        </w:rPr>
        <w:t>tig</w:t>
      </w:r>
      <w:proofErr w:type="spellEnd"/>
      <w:r w:rsidR="00033728" w:rsidRPr="002D1962">
        <w:rPr>
          <w:rFonts w:ascii="Courier New" w:hAnsi="Courier New"/>
        </w:rPr>
        <w:t>&gt;</w:t>
      </w:r>
      <w:r w:rsidR="00033728">
        <w:t xml:space="preserve"> elements, as well as </w:t>
      </w:r>
      <w:r w:rsidR="00033728" w:rsidRPr="002D1962">
        <w:rPr>
          <w:rFonts w:ascii="Courier New" w:hAnsi="Courier New"/>
        </w:rPr>
        <w:t>&lt;</w:t>
      </w:r>
      <w:proofErr w:type="spellStart"/>
      <w:r w:rsidR="00033728" w:rsidRPr="002D1962">
        <w:rPr>
          <w:rFonts w:ascii="Courier New" w:hAnsi="Courier New"/>
        </w:rPr>
        <w:t>termNote</w:t>
      </w:r>
      <w:proofErr w:type="spellEnd"/>
      <w:r w:rsidR="00033728" w:rsidRPr="002D1962">
        <w:rPr>
          <w:rFonts w:ascii="Courier New" w:hAnsi="Courier New"/>
        </w:rPr>
        <w:t>&gt;</w:t>
      </w:r>
      <w:r w:rsidR="00033728">
        <w:t xml:space="preserve"> elements. As TBX-Min only has </w:t>
      </w:r>
      <w:r w:rsidR="00033728" w:rsidRPr="002D1962">
        <w:rPr>
          <w:rFonts w:ascii="Courier New" w:hAnsi="Courier New"/>
        </w:rPr>
        <w:t>&lt;note&gt;</w:t>
      </w:r>
      <w:r w:rsidR="00033728">
        <w:t xml:space="preserve"> elements inside of </w:t>
      </w:r>
      <w:r w:rsidR="004741B7">
        <w:t>&lt;</w:t>
      </w:r>
      <w:proofErr w:type="spellStart"/>
      <w:r w:rsidR="004741B7">
        <w:t>noteGrp</w:t>
      </w:r>
      <w:proofErr w:type="spellEnd"/>
      <w:r w:rsidR="004741B7">
        <w:t xml:space="preserve">&gt;s </w:t>
      </w:r>
      <w:proofErr w:type="spellStart"/>
      <w:r w:rsidR="004741B7">
        <w:t>withihn</w:t>
      </w:r>
      <w:proofErr w:type="spellEnd"/>
      <w:r w:rsidR="004741B7">
        <w:t xml:space="preserve"> </w:t>
      </w:r>
      <w:r w:rsidR="00033728" w:rsidRPr="002D1962">
        <w:rPr>
          <w:rFonts w:ascii="Courier New" w:hAnsi="Courier New"/>
        </w:rPr>
        <w:t>&lt;</w:t>
      </w:r>
      <w:proofErr w:type="spellStart"/>
      <w:r w:rsidR="004741B7">
        <w:rPr>
          <w:rFonts w:ascii="Courier New" w:hAnsi="Courier New"/>
        </w:rPr>
        <w:t>tig</w:t>
      </w:r>
      <w:proofErr w:type="spellEnd"/>
      <w:r w:rsidR="00033728" w:rsidRPr="002D1962">
        <w:rPr>
          <w:rFonts w:ascii="Courier New" w:hAnsi="Courier New"/>
        </w:rPr>
        <w:t>&gt;</w:t>
      </w:r>
      <w:r w:rsidR="00033728">
        <w:t xml:space="preserve">s, any TBX-Basic data present outside of </w:t>
      </w:r>
      <w:r w:rsidR="00033728" w:rsidRPr="002D1962">
        <w:rPr>
          <w:rFonts w:ascii="Courier New" w:hAnsi="Courier New"/>
        </w:rPr>
        <w:t>&lt;</w:t>
      </w:r>
      <w:proofErr w:type="spellStart"/>
      <w:r w:rsidR="00033728" w:rsidRPr="002D1962">
        <w:rPr>
          <w:rFonts w:ascii="Courier New" w:hAnsi="Courier New"/>
        </w:rPr>
        <w:t>tig</w:t>
      </w:r>
      <w:proofErr w:type="spellEnd"/>
      <w:r w:rsidR="00033728" w:rsidRPr="002D1962">
        <w:rPr>
          <w:rFonts w:ascii="Courier New" w:hAnsi="Courier New"/>
        </w:rPr>
        <w:t>&gt;</w:t>
      </w:r>
      <w:r w:rsidR="00033728">
        <w:t xml:space="preserve">s is not </w:t>
      </w:r>
      <w:proofErr w:type="spellStart"/>
      <w:r w:rsidR="00033728">
        <w:t>representable</w:t>
      </w:r>
      <w:proofErr w:type="spellEnd"/>
      <w:r w:rsidR="00033728">
        <w:t xml:space="preserve"> at all, unless we change the</w:t>
      </w:r>
      <w:r w:rsidR="002D1962">
        <w:t xml:space="preserve"> TBX-Min</w:t>
      </w:r>
      <w:r w:rsidR="00033728">
        <w:t xml:space="preserve"> standard to allow </w:t>
      </w:r>
      <w:r w:rsidR="00033728" w:rsidRPr="002D1962">
        <w:rPr>
          <w:rFonts w:ascii="Courier New" w:hAnsi="Courier New"/>
        </w:rPr>
        <w:t>&lt;note&gt;</w:t>
      </w:r>
      <w:r w:rsidR="00033728">
        <w:t xml:space="preserve">s inside of </w:t>
      </w:r>
      <w:r w:rsidR="00033728" w:rsidRPr="002D1962">
        <w:rPr>
          <w:rFonts w:ascii="Courier New" w:hAnsi="Courier New"/>
        </w:rPr>
        <w:t>&lt;</w:t>
      </w:r>
      <w:proofErr w:type="spellStart"/>
      <w:r w:rsidR="004741B7">
        <w:rPr>
          <w:rFonts w:ascii="Courier New" w:hAnsi="Courier New"/>
        </w:rPr>
        <w:t>langSets</w:t>
      </w:r>
      <w:proofErr w:type="spellEnd"/>
      <w:r w:rsidR="00033728" w:rsidRPr="002D1962">
        <w:rPr>
          <w:rFonts w:ascii="Courier New" w:hAnsi="Courier New"/>
        </w:rPr>
        <w:t>&gt;</w:t>
      </w:r>
      <w:r w:rsidR="00033728">
        <w:t xml:space="preserve"> and </w:t>
      </w:r>
      <w:r w:rsidR="00033728" w:rsidRPr="002D1962">
        <w:rPr>
          <w:rFonts w:ascii="Courier New" w:hAnsi="Courier New"/>
        </w:rPr>
        <w:t>&lt;</w:t>
      </w:r>
      <w:proofErr w:type="spellStart"/>
      <w:r w:rsidR="004741B7">
        <w:rPr>
          <w:rFonts w:ascii="Courier New" w:hAnsi="Courier New"/>
        </w:rPr>
        <w:t>termEntry</w:t>
      </w:r>
      <w:proofErr w:type="spellEnd"/>
      <w:r w:rsidR="00033728" w:rsidRPr="002D1962">
        <w:rPr>
          <w:rFonts w:ascii="Courier New" w:hAnsi="Courier New"/>
        </w:rPr>
        <w:t>&gt;</w:t>
      </w:r>
      <w:r w:rsidR="00033728">
        <w:t xml:space="preserve">s. </w:t>
      </w:r>
    </w:p>
    <w:sectPr w:rsidR="004A15A6" w:rsidSect="0005214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CA4" w:rsidRDefault="00E82CA4" w:rsidP="000B6B7A">
      <w:pPr>
        <w:spacing w:after="0" w:line="240" w:lineRule="auto"/>
      </w:pPr>
      <w:r>
        <w:separator/>
      </w:r>
    </w:p>
  </w:endnote>
  <w:endnote w:type="continuationSeparator" w:id="0">
    <w:p w:rsidR="00E82CA4" w:rsidRDefault="00E82CA4" w:rsidP="000B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6539315"/>
      <w:docPartObj>
        <w:docPartGallery w:val="Page Numbers (Bottom of Page)"/>
        <w:docPartUnique/>
      </w:docPartObj>
    </w:sdtPr>
    <w:sdtContent>
      <w:p w:rsidR="00033728" w:rsidRDefault="00EE079F">
        <w:pPr>
          <w:pStyle w:val="Footer"/>
          <w:jc w:val="center"/>
        </w:pPr>
        <w:fldSimple w:instr=" PAGE   \* MERGEFORMAT ">
          <w:r w:rsidR="00435DBE">
            <w:rPr>
              <w:noProof/>
            </w:rPr>
            <w:t>1</w:t>
          </w:r>
        </w:fldSimple>
      </w:p>
    </w:sdtContent>
  </w:sdt>
  <w:p w:rsidR="00033728" w:rsidRDefault="000337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CA4" w:rsidRDefault="00E82CA4" w:rsidP="000B6B7A">
      <w:pPr>
        <w:spacing w:after="0" w:line="240" w:lineRule="auto"/>
      </w:pPr>
      <w:r>
        <w:separator/>
      </w:r>
    </w:p>
  </w:footnote>
  <w:footnote w:type="continuationSeparator" w:id="0">
    <w:p w:rsidR="00E82CA4" w:rsidRDefault="00E82CA4" w:rsidP="000B6B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B6B7A"/>
    <w:rsid w:val="00033728"/>
    <w:rsid w:val="00052147"/>
    <w:rsid w:val="000B6B7A"/>
    <w:rsid w:val="002357BD"/>
    <w:rsid w:val="002D1962"/>
    <w:rsid w:val="00435DBE"/>
    <w:rsid w:val="004741B7"/>
    <w:rsid w:val="004A15A6"/>
    <w:rsid w:val="00565DED"/>
    <w:rsid w:val="005A5AAB"/>
    <w:rsid w:val="007508D1"/>
    <w:rsid w:val="007F45EC"/>
    <w:rsid w:val="00830A1D"/>
    <w:rsid w:val="00893A6B"/>
    <w:rsid w:val="00923AF2"/>
    <w:rsid w:val="009A690F"/>
    <w:rsid w:val="00E82CA4"/>
    <w:rsid w:val="00EE079F"/>
    <w:rsid w:val="00FD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1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B6B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6B7A"/>
  </w:style>
  <w:style w:type="paragraph" w:styleId="Footer">
    <w:name w:val="footer"/>
    <w:basedOn w:val="Normal"/>
    <w:link w:val="FooterChar"/>
    <w:uiPriority w:val="99"/>
    <w:unhideWhenUsed/>
    <w:rsid w:val="000B6B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6B7A"/>
  </w:style>
  <w:style w:type="character" w:styleId="Hyperlink">
    <w:name w:val="Hyperlink"/>
    <w:basedOn w:val="DefaultParagraphFont"/>
    <w:uiPriority w:val="99"/>
    <w:unhideWhenUsed/>
    <w:rsid w:val="000B6B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6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bxconvert.gevterm.ne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 Glenn</dc:creator>
  <cp:lastModifiedBy>James Schofield Hayes</cp:lastModifiedBy>
  <cp:revision>3</cp:revision>
  <dcterms:created xsi:type="dcterms:W3CDTF">2014-08-12T16:30:00Z</dcterms:created>
  <dcterms:modified xsi:type="dcterms:W3CDTF">2014-08-12T16:48:00Z</dcterms:modified>
</cp:coreProperties>
</file>